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2600219</w:t>
      </w:r>
    </w:p>
    <w:p w14:paraId="1FEFC78B">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val="en-US" w:eastAsia="zh-CN"/>
          <w14:textFill>
            <w14:solidFill>
              <w14:schemeClr w14:val="tx1"/>
            </w14:solidFill>
          </w14:textFill>
        </w:rPr>
        <w:t>Gothenburg, SE</w:t>
      </w:r>
      <w:r>
        <w:rPr>
          <w:rFonts w:hint="eastAsia"/>
          <w:b/>
          <w:color w:val="000000" w:themeColor="text1"/>
          <w:kern w:val="2"/>
          <w:lang w:val="en-US" w:eastAsia="zh-CN"/>
          <w14:textFill>
            <w14:solidFill>
              <w14:schemeClr w14:val="tx1"/>
            </w14:solidFill>
          </w14:textFill>
        </w:rPr>
        <w:t>,</w:t>
      </w:r>
      <w:r>
        <w:rPr>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Feb. 9</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13</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10.5.2.2</w:t>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Transmission schemes for 6GR DL shared channels</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73C61A31">
      <w:pPr>
        <w:rPr>
          <w:rFonts w:hint="eastAsia"/>
          <w:lang w:val="en-US" w:eastAsia="zh-CN"/>
        </w:rPr>
      </w:pPr>
      <w:r>
        <w:rPr>
          <w:rFonts w:hint="eastAsia"/>
          <w:lang w:val="en-US" w:eastAsia="zh-CN"/>
        </w:rPr>
        <w:t>PDSCH is the core downlink data channel in the NR system and serves as the primary carrier for downlink data transmission. It mainly carries downlink user data for the UE, while also delivering important control-related information such as system information, random access responses, and paging messages. Its resources are allocated according to the DCI scheduled by the PDCCH. Adapting to NR</w:t>
      </w:r>
      <w:r>
        <w:rPr>
          <w:rFonts w:hint="default"/>
          <w:lang w:val="en-US" w:eastAsia="zh-CN"/>
        </w:rPr>
        <w:t>’</w:t>
      </w:r>
      <w:r>
        <w:rPr>
          <w:rFonts w:hint="eastAsia"/>
          <w:lang w:val="en-US" w:eastAsia="zh-CN"/>
        </w:rPr>
        <w:t>s flexible frame structure and massive MIMO features, it supports technologies such as adaptive modulation and coding, HARQ re-transmission, layer mapping, and precoding. This enables flexible alignment with diverse service requirements and ensures efficient and reliable downlink data transmission over the air interface.</w:t>
      </w:r>
    </w:p>
    <w:p w14:paraId="5B4B2BEF">
      <w:pPr>
        <w:rPr>
          <w:rFonts w:hint="default"/>
          <w:highlight w:val="none"/>
          <w:lang w:val="en-US" w:eastAsia="zh-CN"/>
        </w:rPr>
      </w:pPr>
      <w:r>
        <w:rPr>
          <w:rFonts w:hint="eastAsia"/>
          <w:highlight w:val="none"/>
          <w:lang w:val="en-US" w:eastAsia="zh-CN"/>
        </w:rPr>
        <w:t xml:space="preserve">For 6GR, PDSCH is still serves as the primary carrier for downlink data transmission, meanwhile, it is expected to further evolve based on requirements and application scenarios, such as supporting wider bandwidth, support much more antenna array, and so on. According to the scope suggested by the chairman [1], this proposal presents our views on how to design the transmission schemes for PDSCH form the following aspects: DMRS design for PDSCH, modulation for PDSCH, and M-TRP transmission for PDSCH. </w:t>
      </w:r>
    </w:p>
    <w:p w14:paraId="6F0C30A2">
      <w:pPr>
        <w:rPr>
          <w:rFonts w:hint="default"/>
          <w:szCs w:val="28"/>
          <w:lang w:val="en-US" w:eastAsia="zh-CN"/>
        </w:rPr>
      </w:pPr>
    </w:p>
    <w:p w14:paraId="37A548F5">
      <w:pPr>
        <w:pStyle w:val="2"/>
        <w:rPr>
          <w:b/>
          <w:i/>
          <w:lang w:eastAsia="zh-CN"/>
        </w:rPr>
      </w:pPr>
      <w:bookmarkStart w:id="2" w:name="_Ref129681832"/>
      <w:r>
        <w:rPr>
          <w:rFonts w:hint="eastAsia"/>
          <w:lang w:val="en-US" w:eastAsia="zh-CN"/>
        </w:rPr>
        <w:t>Discussion</w:t>
      </w:r>
    </w:p>
    <w:p w14:paraId="109D2F3B">
      <w:pPr>
        <w:pStyle w:val="3"/>
        <w:bidi w:val="0"/>
        <w:rPr>
          <w:rFonts w:hint="eastAsia"/>
          <w:lang w:val="en-US" w:eastAsia="zh-CN"/>
        </w:rPr>
      </w:pPr>
      <w:r>
        <w:rPr>
          <w:rFonts w:hint="eastAsia"/>
          <w:lang w:val="en-US" w:eastAsia="zh-CN"/>
        </w:rPr>
        <w:t>DMRS design for PDSCH</w:t>
      </w:r>
    </w:p>
    <w:p w14:paraId="6D832439">
      <w:pPr>
        <w:rPr>
          <w:rFonts w:hint="eastAsia"/>
          <w:lang w:val="en-US" w:eastAsia="zh-CN"/>
        </w:rPr>
      </w:pPr>
      <w:r>
        <w:rPr>
          <w:rFonts w:hint="eastAsia"/>
          <w:lang w:val="en-US" w:eastAsia="zh-CN"/>
        </w:rPr>
        <w:t>In NR systems, the maximum number of supported DMRS antenna ports is 24. For 6G, higher frequency ranges such as 7-15 GHz may be applied, enabling larger antenna arrays that help increase system capacity. With more DMRS ports, the spatial channel characteristics introduced by massive antennas can be detected and distinguished more accurately, enabling extremely high</w:t>
      </w:r>
      <w:r>
        <w:rPr>
          <w:rFonts w:hint="eastAsia"/>
          <w:lang w:val="en-US" w:eastAsia="zh-CN"/>
        </w:rPr>
        <w:noBreakHyphen/>
      </w:r>
      <w:r>
        <w:rPr>
          <w:rFonts w:hint="eastAsia"/>
          <w:lang w:val="en-US" w:eastAsia="zh-CN"/>
        </w:rPr>
        <w:t>precision beamforming. However, the limited number of DMRS antenna ports may constrain the number of MU</w:t>
      </w:r>
      <w:r>
        <w:rPr>
          <w:rFonts w:hint="eastAsia"/>
          <w:lang w:val="en-US" w:eastAsia="zh-CN"/>
        </w:rPr>
        <w:noBreakHyphen/>
      </w:r>
      <w:r>
        <w:rPr>
          <w:rFonts w:hint="eastAsia"/>
          <w:lang w:val="en-US" w:eastAsia="zh-CN"/>
        </w:rPr>
        <w:t>MIMO pairs, which in turn affects further capacity enhancement. Therefore, for 6G studies, supporting a significantly larger number of DMRS antenna ports, e.g. 48, should be considered.</w:t>
      </w:r>
    </w:p>
    <w:p w14:paraId="5EE77D00">
      <w:pPr>
        <w:rPr>
          <w:rFonts w:hint="eastAsia"/>
          <w:lang w:val="en-US" w:eastAsia="zh-CN"/>
        </w:rPr>
      </w:pPr>
      <w:r>
        <w:rPr>
          <w:rFonts w:hint="default"/>
          <w:lang w:val="en-US" w:eastAsia="zh-CN"/>
        </w:rPr>
        <w:t>Moreover, in the NR system, two DMRS mapping types</w:t>
      </w:r>
      <w:r>
        <w:rPr>
          <w:rFonts w:hint="eastAsia"/>
          <w:lang w:val="en-US" w:eastAsia="zh-CN"/>
        </w:rPr>
        <w:t xml:space="preserve"> </w:t>
      </w:r>
      <w:r>
        <w:rPr>
          <w:rFonts w:hint="default"/>
          <w:lang w:val="en-US" w:eastAsia="zh-CN"/>
        </w:rPr>
        <w:t>are introduced</w:t>
      </w:r>
      <w:r>
        <w:rPr>
          <w:rFonts w:hint="eastAsia"/>
          <w:lang w:val="en-US" w:eastAsia="zh-CN"/>
        </w:rPr>
        <w:t>, e.g. Type1 and Type 2</w:t>
      </w:r>
      <w:r>
        <w:rPr>
          <w:rFonts w:hint="default"/>
          <w:lang w:val="en-US" w:eastAsia="zh-CN"/>
        </w:rPr>
        <w:t>. These different DMRS types provide different frequency</w:t>
      </w:r>
      <w:r>
        <w:rPr>
          <w:rFonts w:hint="default"/>
          <w:lang w:val="en-US" w:eastAsia="zh-CN"/>
        </w:rPr>
        <w:noBreakHyphen/>
      </w:r>
      <w:r>
        <w:rPr>
          <w:rFonts w:hint="default"/>
          <w:lang w:val="en-US" w:eastAsia="zh-CN"/>
        </w:rPr>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val="en-US" w:eastAsia="zh-CN"/>
        </w:rPr>
        <w:t xml:space="preserve">may </w:t>
      </w:r>
      <w:r>
        <w:rPr>
          <w:rFonts w:hint="default"/>
          <w:lang w:val="en-US"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rFonts w:hint="default"/>
          <w:lang w:val="en-US" w:eastAsia="zh-CN"/>
        </w:rPr>
        <w:noBreakHyphen/>
      </w:r>
      <w:r>
        <w:rPr>
          <w:rFonts w:hint="default"/>
          <w:lang w:val="en-US" w:eastAsia="zh-CN"/>
        </w:rPr>
        <w:t>domain densities.</w:t>
      </w:r>
    </w:p>
    <w:p w14:paraId="512301E0">
      <w:pPr>
        <w:rPr>
          <w:rFonts w:hint="default"/>
          <w:lang w:val="en-US" w:eastAsia="zh-CN"/>
        </w:rPr>
      </w:pPr>
      <w:r>
        <w:rPr>
          <w:rFonts w:hint="default"/>
          <w:lang w:val="en-US" w:eastAsia="zh-CN"/>
        </w:rPr>
        <w:t>However, considering issues such as signaling overhead, processing complexity, and terminal chip</w:t>
      </w:r>
      <w:r>
        <w:rPr>
          <w:rFonts w:hint="eastAsia"/>
          <w:lang w:val="en-US" w:eastAsia="zh-CN"/>
        </w:rPr>
        <w:t xml:space="preserve"> </w:t>
      </w:r>
      <w:r>
        <w:rPr>
          <w:rFonts w:hint="default"/>
          <w:lang w:val="en-US" w:eastAsia="zh-CN"/>
        </w:rPr>
        <w:t>set cost, introducing too many DMRS types in 6G may be unnecessary</w:t>
      </w:r>
      <w:r>
        <w:rPr>
          <w:rFonts w:hint="eastAsia"/>
          <w:lang w:val="en-US" w:eastAsia="zh-CN"/>
        </w:rPr>
        <w:t xml:space="preserve">, </w:t>
      </w:r>
      <w:r>
        <w:rPr>
          <w:rFonts w:hint="default"/>
          <w:lang w:val="en-US" w:eastAsia="zh-CN"/>
        </w:rPr>
        <w:t>one or two well</w:t>
      </w:r>
      <w:r>
        <w:rPr>
          <w:rFonts w:hint="default"/>
          <w:lang w:val="en-US" w:eastAsia="zh-CN"/>
        </w:rPr>
        <w:noBreakHyphen/>
      </w:r>
      <w:r>
        <w:rPr>
          <w:rFonts w:hint="default"/>
          <w:lang w:val="en-US" w:eastAsia="zh-CN"/>
        </w:rPr>
        <w:t>designed mapping types should be sufficient.</w:t>
      </w:r>
    </w:p>
    <w:p w14:paraId="4612AC1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6GR, support for up to 48 antenna ports should be studied.</w:t>
      </w:r>
    </w:p>
    <w:p w14:paraId="12EE8CA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4C71D18D">
      <w:pPr>
        <w:rPr>
          <w:rFonts w:hint="eastAsia"/>
          <w:lang w:val="en-US" w:eastAsia="zh-CN"/>
        </w:rPr>
      </w:pPr>
      <w:r>
        <w:rPr>
          <w:rFonts w:hint="eastAsia"/>
          <w:lang w:val="en-US" w:eastAsia="zh-CN"/>
        </w:rPr>
        <w:t>As mentioned above, as the number of antenna ports increases, the DMRS overhead in the time or frequency domain also increases. Considering the diverse channel environments in 6G, DMRS mapping methods with different time</w:t>
      </w:r>
      <w:r>
        <w:rPr>
          <w:rFonts w:hint="eastAsia"/>
          <w:lang w:val="en-US" w:eastAsia="zh-CN"/>
        </w:rPr>
        <w:noBreakHyphen/>
      </w:r>
      <w:r>
        <w:rPr>
          <w:rFonts w:hint="eastAsia"/>
          <w:lang w:val="en-US" w:eastAsia="zh-CN"/>
        </w:rPr>
        <w:t>domain and frequency</w:t>
      </w:r>
      <w:r>
        <w:rPr>
          <w:rFonts w:hint="eastAsia"/>
          <w:lang w:val="en-US" w:eastAsia="zh-CN"/>
        </w:rPr>
        <w:noBreakHyphen/>
      </w:r>
      <w:r>
        <w:rPr>
          <w:rFonts w:hint="eastAsia"/>
          <w:lang w:val="en-US" w:eastAsia="zh-CN"/>
        </w:rPr>
        <w:t>domain sparsity should be explored. This means that the sparsity in the time and/or frequency domain can be dynamically adjusted according to the external channel conditions. Therefore, for 6G studies, time</w:t>
      </w:r>
      <w:r>
        <w:rPr>
          <w:rFonts w:hint="eastAsia"/>
          <w:lang w:val="en-US" w:eastAsia="zh-CN"/>
        </w:rPr>
        <w:noBreakHyphen/>
      </w:r>
      <w:r>
        <w:rPr>
          <w:rFonts w:hint="eastAsia"/>
          <w:lang w:val="en-US" w:eastAsia="zh-CN"/>
        </w:rPr>
        <w:t>domain and/or frequency</w:t>
      </w:r>
      <w:r>
        <w:rPr>
          <w:rFonts w:hint="eastAsia"/>
          <w:lang w:val="en-US" w:eastAsia="zh-CN"/>
        </w:rPr>
        <w:noBreakHyphen/>
      </w:r>
      <w:r>
        <w:rPr>
          <w:rFonts w:hint="eastAsia"/>
          <w:lang w:val="en-US" w:eastAsia="zh-CN"/>
        </w:rPr>
        <w:t>domain sparse DMRS should be further investigated.</w:t>
      </w:r>
    </w:p>
    <w:p w14:paraId="5634804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time-domain and frequency-domain sparse DMRS should be studied. </w:t>
      </w:r>
    </w:p>
    <w:p w14:paraId="305E086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lang w:val="en-US" w:eastAsia="zh-CN" w:bidi="ar-SA"/>
        </w:rPr>
      </w:pPr>
    </w:p>
    <w:p w14:paraId="010AE7ED">
      <w:pPr>
        <w:pStyle w:val="3"/>
        <w:bidi w:val="0"/>
        <w:rPr>
          <w:rFonts w:hint="eastAsia"/>
          <w:lang w:val="en-US" w:eastAsia="zh-CN"/>
        </w:rPr>
      </w:pPr>
      <w:r>
        <w:rPr>
          <w:rFonts w:hint="eastAsia"/>
          <w:lang w:val="en-US" w:eastAsia="zh-CN"/>
        </w:rPr>
        <w:t>Modulation for PDSCH</w:t>
      </w:r>
    </w:p>
    <w:p w14:paraId="1CB36E05">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lang w:val="en-US" w:eastAsia="zh-CN" w:bidi="ar-SA"/>
        </w:rPr>
      </w:pPr>
      <w:r>
        <w:rPr>
          <w:rFonts w:hint="eastAsia" w:cs="Times New Roman"/>
          <w:b w:val="0"/>
          <w:bCs w:val="0"/>
          <w:sz w:val="22"/>
          <w:szCs w:val="22"/>
          <w:lang w:val="en-US" w:eastAsia="zh-CN" w:bidi="ar-SA"/>
        </w:rPr>
        <w:t>In the NR system, 1024</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QAM modulation was introduced in Rel</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17 to improve spectral efficiency. However, for 6GR, in order to meet capacity and spectral</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efficiency requirements, 1024</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QAM should be supported from day one. Moreover, considering the demand for services requiring larger bandwidth, 6G should also consider supporting higher</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order modulation schemes, such as up to 4096</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QAM, when channel conditions are sufficiently good. For example, FWA terminals have fixed locations and typically use directional antennas. Therefore, 6GR should consider supporting modulation orders higher than 1024</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QAM, depending on UE capability.</w:t>
      </w:r>
    </w:p>
    <w:p w14:paraId="1ED2A5B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supporting 1024</w:t>
      </w:r>
      <w:r>
        <w:rPr>
          <w:rFonts w:hint="eastAsia"/>
          <w:i/>
          <w:iCs/>
          <w:color w:val="auto"/>
          <w:sz w:val="22"/>
          <w:szCs w:val="22"/>
          <w:lang w:val="en-US" w:eastAsia="zh-CN"/>
        </w:rPr>
        <w:noBreakHyphen/>
      </w:r>
      <w:r>
        <w:rPr>
          <w:rFonts w:hint="eastAsia"/>
          <w:i/>
          <w:iCs/>
          <w:color w:val="auto"/>
          <w:sz w:val="22"/>
          <w:szCs w:val="22"/>
          <w:lang w:val="en-US" w:eastAsia="zh-CN"/>
        </w:rPr>
        <w:t>QAM modulation for PDSCH should be considered, while also considering study 4096</w:t>
      </w:r>
      <w:r>
        <w:rPr>
          <w:rFonts w:hint="eastAsia"/>
          <w:i/>
          <w:iCs/>
          <w:color w:val="auto"/>
          <w:sz w:val="22"/>
          <w:szCs w:val="22"/>
          <w:lang w:val="en-US" w:eastAsia="zh-CN"/>
        </w:rPr>
        <w:noBreakHyphen/>
      </w:r>
      <w:r>
        <w:rPr>
          <w:rFonts w:hint="eastAsia"/>
          <w:i/>
          <w:iCs/>
          <w:color w:val="auto"/>
          <w:sz w:val="22"/>
          <w:szCs w:val="22"/>
          <w:lang w:val="en-US" w:eastAsia="zh-CN"/>
        </w:rPr>
        <w:t>QAM as a UE</w:t>
      </w:r>
      <w:r>
        <w:rPr>
          <w:rFonts w:hint="eastAsia"/>
          <w:i/>
          <w:iCs/>
          <w:color w:val="auto"/>
          <w:sz w:val="22"/>
          <w:szCs w:val="22"/>
          <w:lang w:val="en-US" w:eastAsia="zh-CN"/>
        </w:rPr>
        <w:noBreakHyphen/>
      </w:r>
      <w:r>
        <w:rPr>
          <w:rFonts w:hint="eastAsia"/>
          <w:i/>
          <w:iCs/>
          <w:color w:val="auto"/>
          <w:sz w:val="22"/>
          <w:szCs w:val="22"/>
          <w:lang w:val="en-US" w:eastAsia="zh-CN"/>
        </w:rPr>
        <w:t>dependent capability.</w:t>
      </w:r>
    </w:p>
    <w:p w14:paraId="6C39F63F">
      <w:pPr>
        <w:pStyle w:val="3"/>
        <w:bidi w:val="0"/>
        <w:rPr>
          <w:rFonts w:hint="eastAsia"/>
          <w:lang w:val="en-US" w:eastAsia="zh-CN"/>
        </w:rPr>
      </w:pPr>
      <w:r>
        <w:rPr>
          <w:rFonts w:hint="eastAsia"/>
          <w:lang w:val="en-US" w:eastAsia="zh-CN"/>
        </w:rPr>
        <w:t>M-TRP transmission for PDSCH</w:t>
      </w:r>
    </w:p>
    <w:p w14:paraId="42E92A4A">
      <w:pPr>
        <w:rPr>
          <w:rFonts w:hint="eastAsia"/>
          <w:lang w:val="en-US" w:eastAsia="zh-CN"/>
        </w:rPr>
      </w:pPr>
      <w:r>
        <w:rPr>
          <w:rFonts w:hint="eastAsia"/>
          <w:lang w:val="en-US" w:eastAsia="zh-CN"/>
        </w:rPr>
        <w:t>In 5G, CJT and NCJT have been specified for multi</w:t>
      </w:r>
      <w:r>
        <w:rPr>
          <w:rFonts w:hint="eastAsia"/>
          <w:lang w:val="en-US" w:eastAsia="zh-CN"/>
        </w:rPr>
        <w:noBreakHyphen/>
      </w:r>
      <w:r>
        <w:rPr>
          <w:rFonts w:hint="eastAsia"/>
          <w:lang w:val="en-US" w:eastAsia="zh-CN"/>
        </w:rPr>
        <w:t xml:space="preserve">TRP transmission. For 6G, one of the key visions is to realize a </w:t>
      </w:r>
      <w:r>
        <w:rPr>
          <w:rFonts w:hint="default"/>
          <w:lang w:val="en-US" w:eastAsia="zh-CN"/>
        </w:rPr>
        <w:t>“</w:t>
      </w:r>
      <w:r>
        <w:rPr>
          <w:rFonts w:hint="eastAsia"/>
          <w:lang w:val="en-US" w:eastAsia="zh-CN"/>
        </w:rPr>
        <w:t>cell</w:t>
      </w:r>
      <w:r>
        <w:rPr>
          <w:rFonts w:hint="eastAsia"/>
          <w:lang w:val="en-US" w:eastAsia="zh-CN"/>
        </w:rPr>
        <w:noBreakHyphen/>
      </w:r>
      <w:r>
        <w:rPr>
          <w:rFonts w:hint="eastAsia"/>
          <w:lang w:val="en-US" w:eastAsia="zh-CN"/>
        </w:rPr>
        <w:t>free</w:t>
      </w:r>
      <w:r>
        <w:rPr>
          <w:rFonts w:hint="default"/>
          <w:lang w:val="en-US" w:eastAsia="zh-CN"/>
        </w:rPr>
        <w:t>”</w:t>
      </w:r>
      <w:r>
        <w:rPr>
          <w:rFonts w:hint="eastAsia"/>
          <w:lang w:val="en-US" w:eastAsia="zh-CN"/>
        </w:rPr>
        <w:t xml:space="preserve"> network, which requires enhanced cooperation among multiple TRPs. TRPs participating in such cooperation can form a cooperating set, where the grouping may be based on geographical location; for example, TRPs that are close to each other can be grouped into the same cooperating set. In this scenario, the UE can achieve seamless handover within a cooperating set. As the UE moves, the cooperating set can be updated dynamically. When the UE approaches the edge of one cooperating set, it can be switched to another set. To enable seamless switching between cooperating sets, NR technologies such as LTM or inter</w:t>
      </w:r>
      <w:r>
        <w:rPr>
          <w:rFonts w:hint="eastAsia"/>
          <w:lang w:val="en-US" w:eastAsia="zh-CN"/>
        </w:rPr>
        <w:noBreakHyphen/>
      </w:r>
      <w:r>
        <w:rPr>
          <w:rFonts w:hint="eastAsia"/>
          <w:lang w:val="en-US" w:eastAsia="zh-CN"/>
        </w:rPr>
        <w:t>cell beam management may need to be further enhanced and studied for 6GR.</w:t>
      </w:r>
    </w:p>
    <w:p w14:paraId="7181BDF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For </w:t>
      </w:r>
      <w:r>
        <w:rPr>
          <w:rFonts w:hint="default"/>
          <w:i/>
          <w:iCs/>
          <w:color w:val="auto"/>
          <w:sz w:val="22"/>
          <w:szCs w:val="22"/>
          <w:lang w:val="en-US" w:eastAsia="zh-CN"/>
        </w:rPr>
        <w:t>6GR, the concept of a cooperating set for multi</w:t>
      </w:r>
      <w:r>
        <w:rPr>
          <w:rFonts w:hint="default"/>
          <w:i/>
          <w:iCs/>
          <w:color w:val="auto"/>
          <w:sz w:val="22"/>
          <w:szCs w:val="22"/>
          <w:lang w:val="en-US" w:eastAsia="zh-CN"/>
        </w:rPr>
        <w:noBreakHyphen/>
      </w:r>
      <w:r>
        <w:rPr>
          <w:rFonts w:hint="default"/>
          <w:i/>
          <w:iCs/>
          <w:color w:val="auto"/>
          <w:sz w:val="22"/>
          <w:szCs w:val="22"/>
          <w:lang w:val="en-US" w:eastAsia="zh-CN"/>
        </w:rPr>
        <w:t xml:space="preserve">TRP cooperation should be studied. </w:t>
      </w:r>
      <w:r>
        <w:rPr>
          <w:rFonts w:hint="eastAsia"/>
          <w:i/>
          <w:iCs/>
          <w:color w:val="auto"/>
          <w:sz w:val="22"/>
          <w:szCs w:val="22"/>
          <w:lang w:val="en-US" w:eastAsia="zh-CN"/>
        </w:rPr>
        <w:t xml:space="preserve"> </w:t>
      </w:r>
      <w:r>
        <w:rPr>
          <w:rFonts w:hint="default"/>
          <w:i/>
          <w:iCs/>
          <w:color w:val="auto"/>
          <w:sz w:val="22"/>
          <w:szCs w:val="22"/>
          <w:lang w:val="en-US" w:eastAsia="zh-CN"/>
        </w:rPr>
        <w:t>To support seamless switching between cooperating sets, enhancements to NR technologies such as LTM and inter</w:t>
      </w:r>
      <w:r>
        <w:rPr>
          <w:rFonts w:hint="default"/>
          <w:i/>
          <w:iCs/>
          <w:color w:val="auto"/>
          <w:sz w:val="22"/>
          <w:szCs w:val="22"/>
          <w:lang w:val="en-US" w:eastAsia="zh-CN"/>
        </w:rPr>
        <w:noBreakHyphen/>
      </w:r>
      <w:r>
        <w:rPr>
          <w:rFonts w:hint="default"/>
          <w:i/>
          <w:iCs/>
          <w:color w:val="auto"/>
          <w:sz w:val="22"/>
          <w:szCs w:val="22"/>
          <w:lang w:val="en-US" w:eastAsia="zh-CN"/>
        </w:rPr>
        <w:t>cell beam management should be further investigated.</w:t>
      </w:r>
    </w:p>
    <w:p w14:paraId="4F521AE7">
      <w:pPr>
        <w:rPr>
          <w:rFonts w:hint="eastAsia"/>
          <w:lang w:val="en-US" w:eastAsia="zh-CN"/>
        </w:rPr>
      </w:pPr>
      <w:r>
        <w:rPr>
          <w:rFonts w:hint="eastAsia"/>
          <w:lang w:val="en-US" w:eastAsia="zh-CN"/>
        </w:rPr>
        <w:t>Obviously, based on the scenarios described above, the UE can achieve nearly seamless switching. However, as the number of TRPs in a cooperating set increases, the CSI measurement and reporting overhead also increases. Moreover, considering the need to calibrate time</w:t>
      </w:r>
      <w:r>
        <w:rPr>
          <w:rFonts w:hint="eastAsia"/>
          <w:lang w:val="en-US" w:eastAsia="zh-CN"/>
        </w:rPr>
        <w:noBreakHyphen/>
      </w:r>
      <w:r>
        <w:rPr>
          <w:rFonts w:hint="eastAsia"/>
          <w:lang w:val="en-US" w:eastAsia="zh-CN"/>
        </w:rPr>
        <w:t>delay offset, frequency offset, and phase offset, the CSI measurement and reporting overhead will grow even further, and the UE</w:t>
      </w:r>
      <w:r>
        <w:rPr>
          <w:rFonts w:hint="default"/>
          <w:lang w:val="en-US" w:eastAsia="zh-CN"/>
        </w:rPr>
        <w:t>’</w:t>
      </w:r>
      <w:r>
        <w:rPr>
          <w:rFonts w:hint="eastAsia"/>
          <w:lang w:val="en-US" w:eastAsia="zh-CN"/>
        </w:rPr>
        <w:t>s computational complexity will increase significantly. Therefore, for 6GR, multi</w:t>
      </w:r>
      <w:r>
        <w:rPr>
          <w:rFonts w:hint="eastAsia"/>
          <w:lang w:val="en-US" w:eastAsia="zh-CN"/>
        </w:rPr>
        <w:noBreakHyphen/>
      </w:r>
      <w:r>
        <w:rPr>
          <w:rFonts w:hint="eastAsia"/>
          <w:lang w:val="en-US" w:eastAsia="zh-CN"/>
        </w:rPr>
        <w:t>TRP cooperation should focus on a limited number of TRPs.</w:t>
      </w:r>
    </w:p>
    <w:p w14:paraId="61913054">
      <w:pPr>
        <w:rPr>
          <w:rFonts w:hint="eastAsia"/>
          <w:lang w:val="en-US" w:eastAsia="zh-CN"/>
        </w:rPr>
      </w:pPr>
      <w:r>
        <w:rPr>
          <w:rFonts w:hint="eastAsia"/>
          <w:lang w:val="en-US" w:eastAsia="zh-CN"/>
        </w:rPr>
        <w:t>Considering the different requirements for spectral efficiency, transmission delay, reliability, and other factors, different transmission models—such as NCJT, CJT, or a hybrid of the two—should be studied for 6G within the cooperating set.</w:t>
      </w:r>
    </w:p>
    <w:p w14:paraId="1989FB9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w:t>
      </w:r>
      <w:r>
        <w:rPr>
          <w:rFonts w:hint="default"/>
          <w:i/>
          <w:iCs/>
          <w:color w:val="auto"/>
          <w:sz w:val="22"/>
          <w:szCs w:val="22"/>
          <w:lang w:val="en-US" w:eastAsia="zh-CN"/>
        </w:rPr>
        <w:t>For 6GR, multi</w:t>
      </w:r>
      <w:r>
        <w:rPr>
          <w:rFonts w:hint="default"/>
          <w:i/>
          <w:iCs/>
          <w:color w:val="auto"/>
          <w:sz w:val="22"/>
          <w:szCs w:val="22"/>
          <w:lang w:val="en-US" w:eastAsia="zh-CN"/>
        </w:rPr>
        <w:noBreakHyphen/>
      </w:r>
      <w:r>
        <w:rPr>
          <w:rFonts w:hint="default"/>
          <w:i/>
          <w:iCs/>
          <w:color w:val="auto"/>
          <w:sz w:val="22"/>
          <w:szCs w:val="22"/>
          <w:lang w:val="en-US" w:eastAsia="zh-CN"/>
        </w:rPr>
        <w:t>TRP cooperation should focus on a limited number of TRPs to control CSI measurement and reporting overhead, as well as UE computational complexity. In addition, different transmission models—such as NCJT, CJT, or hybrid schemes—should be explored within a cooperating set</w:t>
      </w:r>
      <w:r>
        <w:rPr>
          <w:rFonts w:hint="eastAsia"/>
          <w:i/>
          <w:iCs/>
          <w:color w:val="auto"/>
          <w:sz w:val="22"/>
          <w:szCs w:val="22"/>
          <w:lang w:val="en-US" w:eastAsia="zh-CN"/>
        </w:rPr>
        <w:t>.</w:t>
      </w:r>
    </w:p>
    <w:p w14:paraId="5BD009D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i/>
          <w:iCs/>
          <w:color w:val="auto"/>
          <w:sz w:val="22"/>
          <w:szCs w:val="22"/>
          <w:lang w:val="en-US" w:eastAsia="zh-CN"/>
        </w:rPr>
      </w:pPr>
    </w:p>
    <w:p w14:paraId="2681279B">
      <w:pPr>
        <w:pStyle w:val="2"/>
      </w:pPr>
      <w:r>
        <w:rPr>
          <w:rFonts w:hint="eastAsia"/>
          <w:i/>
          <w:iCs/>
          <w:sz w:val="22"/>
          <w:szCs w:val="22"/>
          <w:lang w:val="en-US" w:eastAsia="zh-CN"/>
        </w:rPr>
        <w:t xml:space="preserve"> </w:t>
      </w:r>
      <w:r>
        <w:t>Conclusions</w:t>
      </w:r>
    </w:p>
    <w:p w14:paraId="294062AA">
      <w:pPr>
        <w:rPr>
          <w:rFonts w:hint="eastAsia"/>
          <w:kern w:val="2"/>
          <w:lang w:val="en-US" w:eastAsia="zh-CN"/>
        </w:rPr>
      </w:pPr>
      <w:r>
        <w:rPr>
          <w:rFonts w:hint="eastAsia"/>
          <w:kern w:val="2"/>
          <w:lang w:val="en-US" w:eastAsia="zh-CN"/>
        </w:rPr>
        <w:t>Based on the above discussion on potential 6G study directions, we have the following proposals:</w:t>
      </w:r>
    </w:p>
    <w:p w14:paraId="63C5CB25">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6GR, support for up to 48 antenna ports should be studied.</w:t>
      </w:r>
    </w:p>
    <w:p w14:paraId="185B9F53">
      <w:pPr>
        <w:pStyle w:val="35"/>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6779AB7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time-domain and frequency-domain sparse DMRS should be studied. </w:t>
      </w:r>
    </w:p>
    <w:p w14:paraId="75BB40E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supporting 1024</w:t>
      </w:r>
      <w:r>
        <w:rPr>
          <w:rFonts w:hint="eastAsia"/>
          <w:i/>
          <w:iCs/>
          <w:color w:val="auto"/>
          <w:sz w:val="22"/>
          <w:szCs w:val="22"/>
          <w:lang w:val="en-US" w:eastAsia="zh-CN"/>
        </w:rPr>
        <w:noBreakHyphen/>
      </w:r>
      <w:r>
        <w:rPr>
          <w:rFonts w:hint="eastAsia"/>
          <w:i/>
          <w:iCs/>
          <w:color w:val="auto"/>
          <w:sz w:val="22"/>
          <w:szCs w:val="22"/>
          <w:lang w:val="en-US" w:eastAsia="zh-CN"/>
        </w:rPr>
        <w:t>QAM modulation for PDSCH should be considered, while also considering study 4096</w:t>
      </w:r>
      <w:r>
        <w:rPr>
          <w:rFonts w:hint="eastAsia"/>
          <w:i/>
          <w:iCs/>
          <w:color w:val="auto"/>
          <w:sz w:val="22"/>
          <w:szCs w:val="22"/>
          <w:lang w:val="en-US" w:eastAsia="zh-CN"/>
        </w:rPr>
        <w:noBreakHyphen/>
      </w:r>
      <w:r>
        <w:rPr>
          <w:rFonts w:hint="eastAsia"/>
          <w:i/>
          <w:iCs/>
          <w:color w:val="auto"/>
          <w:sz w:val="22"/>
          <w:szCs w:val="22"/>
          <w:lang w:val="en-US" w:eastAsia="zh-CN"/>
        </w:rPr>
        <w:t>QAM as a UE</w:t>
      </w:r>
      <w:r>
        <w:rPr>
          <w:rFonts w:hint="eastAsia"/>
          <w:i/>
          <w:iCs/>
          <w:color w:val="auto"/>
          <w:sz w:val="22"/>
          <w:szCs w:val="22"/>
          <w:lang w:val="en-US" w:eastAsia="zh-CN"/>
        </w:rPr>
        <w:noBreakHyphen/>
      </w:r>
      <w:r>
        <w:rPr>
          <w:rFonts w:hint="eastAsia"/>
          <w:i/>
          <w:iCs/>
          <w:color w:val="auto"/>
          <w:sz w:val="22"/>
          <w:szCs w:val="22"/>
          <w:lang w:val="en-US" w:eastAsia="zh-CN"/>
        </w:rPr>
        <w:t>dependent capability.</w:t>
      </w:r>
    </w:p>
    <w:p w14:paraId="7BCD5B5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xml:space="preserve">: For </w:t>
      </w:r>
      <w:r>
        <w:rPr>
          <w:rFonts w:hint="default"/>
          <w:i/>
          <w:iCs/>
          <w:color w:val="auto"/>
          <w:sz w:val="22"/>
          <w:szCs w:val="22"/>
          <w:lang w:val="en-US" w:eastAsia="zh-CN"/>
        </w:rPr>
        <w:t>6GR, the concept of a cooperating set for multi</w:t>
      </w:r>
      <w:r>
        <w:rPr>
          <w:rFonts w:hint="default"/>
          <w:i/>
          <w:iCs/>
          <w:color w:val="auto"/>
          <w:sz w:val="22"/>
          <w:szCs w:val="22"/>
          <w:lang w:val="en-US" w:eastAsia="zh-CN"/>
        </w:rPr>
        <w:noBreakHyphen/>
      </w:r>
      <w:r>
        <w:rPr>
          <w:rFonts w:hint="default"/>
          <w:i/>
          <w:iCs/>
          <w:color w:val="auto"/>
          <w:sz w:val="22"/>
          <w:szCs w:val="22"/>
          <w:lang w:val="en-US" w:eastAsia="zh-CN"/>
        </w:rPr>
        <w:t xml:space="preserve">TRP cooperation should be studied. </w:t>
      </w:r>
      <w:r>
        <w:rPr>
          <w:rFonts w:hint="eastAsia"/>
          <w:i/>
          <w:iCs/>
          <w:color w:val="auto"/>
          <w:sz w:val="22"/>
          <w:szCs w:val="22"/>
          <w:lang w:val="en-US" w:eastAsia="zh-CN"/>
        </w:rPr>
        <w:t xml:space="preserve"> </w:t>
      </w:r>
      <w:r>
        <w:rPr>
          <w:rFonts w:hint="default"/>
          <w:i/>
          <w:iCs/>
          <w:color w:val="auto"/>
          <w:sz w:val="22"/>
          <w:szCs w:val="22"/>
          <w:lang w:val="en-US" w:eastAsia="zh-CN"/>
        </w:rPr>
        <w:t>To support seamless switching between cooperating sets, enhancements to NR technologies such as LTM and inter</w:t>
      </w:r>
      <w:r>
        <w:rPr>
          <w:rFonts w:hint="default"/>
          <w:i/>
          <w:iCs/>
          <w:color w:val="auto"/>
          <w:sz w:val="22"/>
          <w:szCs w:val="22"/>
          <w:lang w:val="en-US" w:eastAsia="zh-CN"/>
        </w:rPr>
        <w:noBreakHyphen/>
      </w:r>
      <w:r>
        <w:rPr>
          <w:rFonts w:hint="default"/>
          <w:i/>
          <w:iCs/>
          <w:color w:val="auto"/>
          <w:sz w:val="22"/>
          <w:szCs w:val="22"/>
          <w:lang w:val="en-US" w:eastAsia="zh-CN"/>
        </w:rPr>
        <w:t>cell beam management should be further investigated.</w:t>
      </w:r>
    </w:p>
    <w:p w14:paraId="2338FE9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 </w:t>
      </w:r>
      <w:r>
        <w:rPr>
          <w:rFonts w:hint="default"/>
          <w:i/>
          <w:iCs/>
          <w:color w:val="auto"/>
          <w:sz w:val="22"/>
          <w:szCs w:val="22"/>
          <w:lang w:val="en-US" w:eastAsia="zh-CN"/>
        </w:rPr>
        <w:t>For 6GR, multi</w:t>
      </w:r>
      <w:r>
        <w:rPr>
          <w:rFonts w:hint="default"/>
          <w:i/>
          <w:iCs/>
          <w:color w:val="auto"/>
          <w:sz w:val="22"/>
          <w:szCs w:val="22"/>
          <w:lang w:val="en-US" w:eastAsia="zh-CN"/>
        </w:rPr>
        <w:noBreakHyphen/>
      </w:r>
      <w:r>
        <w:rPr>
          <w:rFonts w:hint="default"/>
          <w:i/>
          <w:iCs/>
          <w:color w:val="auto"/>
          <w:sz w:val="22"/>
          <w:szCs w:val="22"/>
          <w:lang w:val="en-US" w:eastAsia="zh-CN"/>
        </w:rPr>
        <w:t>TRP cooperation should focus on a limited number of TRPs to control CSI measurement and reporting overhead, as well as UE computational complexity. In addition, different transmission models—such as NCJT, CJT, or hybrid schemes—should be explored within a cooperating set</w:t>
      </w:r>
      <w:r>
        <w:rPr>
          <w:rFonts w:hint="eastAsia"/>
          <w:i/>
          <w:iCs/>
          <w:color w:val="auto"/>
          <w:sz w:val="22"/>
          <w:szCs w:val="22"/>
          <w:lang w:val="en-US" w:eastAsia="zh-CN"/>
        </w:rPr>
        <w:t xml:space="preserve">. </w:t>
      </w:r>
    </w:p>
    <w:p w14:paraId="695657E3">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bookmarkStart w:id="6" w:name="_GoBack"/>
      <w:bookmarkEnd w:id="6"/>
    </w:p>
    <w:p w14:paraId="50F538C4">
      <w:pPr>
        <w:rPr>
          <w:rFonts w:hint="default" w:cs="Times New Roman"/>
          <w:sz w:val="22"/>
          <w:szCs w:val="22"/>
          <w:lang w:val="en-US" w:eastAsia="zh-CN"/>
        </w:rPr>
      </w:pPr>
      <w:r>
        <w:rPr>
          <w:rFonts w:hint="eastAsia"/>
          <w:i/>
          <w:iCs/>
          <w:sz w:val="22"/>
          <w:szCs w:val="22"/>
          <w:lang w:val="en-US" w:eastAsia="zh-CN"/>
        </w:rPr>
        <w:t xml:space="preserve"> </w:t>
      </w:r>
    </w:p>
    <w:p w14:paraId="0B4B24C7">
      <w:pPr>
        <w:pStyle w:val="2"/>
        <w:numPr>
          <w:ilvl w:val="0"/>
          <w:numId w:val="0"/>
        </w:numPr>
        <w:ind w:left="432" w:hanging="432"/>
      </w:pPr>
      <w:bookmarkStart w:id="3" w:name="_Ref124589665"/>
      <w:bookmarkStart w:id="4" w:name="_Ref124671424"/>
      <w:bookmarkStart w:id="5" w:name="_Ref71620620"/>
      <w:r>
        <w:t>References</w:t>
      </w:r>
    </w:p>
    <w:bookmarkEnd w:id="2"/>
    <w:bookmarkEnd w:id="3"/>
    <w:bookmarkEnd w:id="4"/>
    <w:bookmarkEnd w:id="5"/>
    <w:p w14:paraId="6D88D94E">
      <w:pPr>
        <w:numPr>
          <w:ilvl w:val="0"/>
          <w:numId w:val="8"/>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p w14:paraId="6FB2E0D5">
      <w:pPr>
        <w:numPr>
          <w:ilvl w:val="0"/>
          <w:numId w:val="0"/>
        </w:numPr>
        <w:rPr>
          <w:rFonts w:hint="default" w:eastAsia="宋体"/>
          <w:lang w:val="en-US" w:eastAsia="zh-CN"/>
        </w:rPr>
      </w:pPr>
    </w:p>
    <w:p w14:paraId="1E2974F2">
      <w:pPr>
        <w:numPr>
          <w:ilvl w:val="0"/>
          <w:numId w:val="0"/>
        </w:numPr>
        <w:autoSpaceDE w:val="0"/>
        <w:autoSpaceDN w:val="0"/>
        <w:adjustRightInd w:val="0"/>
        <w:snapToGrid w:val="0"/>
        <w:spacing w:after="120"/>
        <w:jc w:val="both"/>
        <w:rPr>
          <w:rFonts w:hint="default" w:eastAsia="宋体"/>
          <w:lang w:val="en-US" w:eastAsia="zh-CN"/>
        </w:rPr>
      </w:pPr>
    </w:p>
    <w:p w14:paraId="75F87FF6">
      <w:pPr>
        <w:rPr>
          <w:rFonts w:hint="default" w:eastAsia="等线"/>
          <w:i/>
          <w:iCs/>
          <w:lang w:val="en-US" w:eastAsia="zh-CN"/>
        </w:rPr>
      </w:pPr>
      <w:r>
        <w:rPr>
          <w:rFonts w:hint="eastAsia"/>
          <w:lang w:val="en-US" w:eastAsia="zh-CN"/>
        </w:rPr>
        <w:t xml:space="preserve"> </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num w:numId="1">
    <w:abstractNumId w:val="4"/>
  </w:num>
  <w:num w:numId="2">
    <w:abstractNumId w:val="0"/>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C012ED"/>
    <w:rsid w:val="02146E67"/>
    <w:rsid w:val="0247556A"/>
    <w:rsid w:val="04375214"/>
    <w:rsid w:val="05B63D01"/>
    <w:rsid w:val="064E6EC7"/>
    <w:rsid w:val="068104E9"/>
    <w:rsid w:val="06BC02D5"/>
    <w:rsid w:val="06E65352"/>
    <w:rsid w:val="07BE5F96"/>
    <w:rsid w:val="07D77390"/>
    <w:rsid w:val="09E162A4"/>
    <w:rsid w:val="0A222B45"/>
    <w:rsid w:val="0A432ABB"/>
    <w:rsid w:val="0A8F3F52"/>
    <w:rsid w:val="0AE74E07"/>
    <w:rsid w:val="0B7745CF"/>
    <w:rsid w:val="0B8146A6"/>
    <w:rsid w:val="0BA43F60"/>
    <w:rsid w:val="0BCA3494"/>
    <w:rsid w:val="0C9910B8"/>
    <w:rsid w:val="0DC43F13"/>
    <w:rsid w:val="0DCB75F9"/>
    <w:rsid w:val="0F1A5B71"/>
    <w:rsid w:val="0F24069B"/>
    <w:rsid w:val="10644175"/>
    <w:rsid w:val="10655CF3"/>
    <w:rsid w:val="10AF34A1"/>
    <w:rsid w:val="11DB63C2"/>
    <w:rsid w:val="121307D5"/>
    <w:rsid w:val="121F796A"/>
    <w:rsid w:val="12E81295"/>
    <w:rsid w:val="12FD2134"/>
    <w:rsid w:val="13BB36C2"/>
    <w:rsid w:val="13F35552"/>
    <w:rsid w:val="14661880"/>
    <w:rsid w:val="155F7836"/>
    <w:rsid w:val="15651DDF"/>
    <w:rsid w:val="158352FB"/>
    <w:rsid w:val="174A3000"/>
    <w:rsid w:val="17DE07C9"/>
    <w:rsid w:val="18B35288"/>
    <w:rsid w:val="18FB229D"/>
    <w:rsid w:val="1A0B7057"/>
    <w:rsid w:val="1A9A5493"/>
    <w:rsid w:val="1B212B46"/>
    <w:rsid w:val="1B5C3255"/>
    <w:rsid w:val="1CCF6584"/>
    <w:rsid w:val="1D187DD7"/>
    <w:rsid w:val="1D1C41F7"/>
    <w:rsid w:val="1D1C78C7"/>
    <w:rsid w:val="1DF8723B"/>
    <w:rsid w:val="1E5906A7"/>
    <w:rsid w:val="1E5D0198"/>
    <w:rsid w:val="1F8549E9"/>
    <w:rsid w:val="1F896D6A"/>
    <w:rsid w:val="202D76F6"/>
    <w:rsid w:val="20C107E7"/>
    <w:rsid w:val="219F108F"/>
    <w:rsid w:val="226E2973"/>
    <w:rsid w:val="23684FCE"/>
    <w:rsid w:val="23BF2D5B"/>
    <w:rsid w:val="24156E1F"/>
    <w:rsid w:val="242B219E"/>
    <w:rsid w:val="260D4251"/>
    <w:rsid w:val="26190ABD"/>
    <w:rsid w:val="261C4494"/>
    <w:rsid w:val="26976960"/>
    <w:rsid w:val="27DB3EDB"/>
    <w:rsid w:val="281E3AE3"/>
    <w:rsid w:val="282910EA"/>
    <w:rsid w:val="286F2DE9"/>
    <w:rsid w:val="28B60BD0"/>
    <w:rsid w:val="28CA642A"/>
    <w:rsid w:val="28D14891"/>
    <w:rsid w:val="293E7518"/>
    <w:rsid w:val="299C169D"/>
    <w:rsid w:val="2A2D53A4"/>
    <w:rsid w:val="2BBD04C8"/>
    <w:rsid w:val="2BF13CCD"/>
    <w:rsid w:val="2C24744F"/>
    <w:rsid w:val="2D564730"/>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A91181"/>
    <w:rsid w:val="36625EF3"/>
    <w:rsid w:val="379B16DB"/>
    <w:rsid w:val="37B81B43"/>
    <w:rsid w:val="382D0E39"/>
    <w:rsid w:val="389B393F"/>
    <w:rsid w:val="390A2872"/>
    <w:rsid w:val="398C3287"/>
    <w:rsid w:val="39916AF0"/>
    <w:rsid w:val="3A5122CC"/>
    <w:rsid w:val="3AC727C9"/>
    <w:rsid w:val="3B181276"/>
    <w:rsid w:val="3B255279"/>
    <w:rsid w:val="3BC25B08"/>
    <w:rsid w:val="3D08531B"/>
    <w:rsid w:val="3DDC2A2F"/>
    <w:rsid w:val="3E650E19"/>
    <w:rsid w:val="3E860BED"/>
    <w:rsid w:val="3ED6747E"/>
    <w:rsid w:val="3F9F0287"/>
    <w:rsid w:val="409D7797"/>
    <w:rsid w:val="40B7508E"/>
    <w:rsid w:val="41F5553B"/>
    <w:rsid w:val="42C66F16"/>
    <w:rsid w:val="431C4AFF"/>
    <w:rsid w:val="43AF356A"/>
    <w:rsid w:val="44F971E5"/>
    <w:rsid w:val="45435142"/>
    <w:rsid w:val="456D0411"/>
    <w:rsid w:val="472D42FC"/>
    <w:rsid w:val="47CA56A6"/>
    <w:rsid w:val="48B9571B"/>
    <w:rsid w:val="48DB1D9C"/>
    <w:rsid w:val="496717F9"/>
    <w:rsid w:val="4A6D3D2B"/>
    <w:rsid w:val="4A851D59"/>
    <w:rsid w:val="4AA84B5C"/>
    <w:rsid w:val="4AD64873"/>
    <w:rsid w:val="4B564888"/>
    <w:rsid w:val="4B983D0E"/>
    <w:rsid w:val="4CE06FC7"/>
    <w:rsid w:val="4D0B5682"/>
    <w:rsid w:val="4D785BA5"/>
    <w:rsid w:val="4DED20EF"/>
    <w:rsid w:val="4E741D2F"/>
    <w:rsid w:val="4E7B6ED7"/>
    <w:rsid w:val="4E836CEC"/>
    <w:rsid w:val="4EF105FA"/>
    <w:rsid w:val="4F7725B8"/>
    <w:rsid w:val="501C4F0D"/>
    <w:rsid w:val="50E177E0"/>
    <w:rsid w:val="50E7594A"/>
    <w:rsid w:val="50F71351"/>
    <w:rsid w:val="52160612"/>
    <w:rsid w:val="52635075"/>
    <w:rsid w:val="526856F0"/>
    <w:rsid w:val="5277467D"/>
    <w:rsid w:val="530103EA"/>
    <w:rsid w:val="53D61118"/>
    <w:rsid w:val="53DD0E57"/>
    <w:rsid w:val="54084F03"/>
    <w:rsid w:val="549804FA"/>
    <w:rsid w:val="54C46D2D"/>
    <w:rsid w:val="54D70EDA"/>
    <w:rsid w:val="558716C7"/>
    <w:rsid w:val="55E03D68"/>
    <w:rsid w:val="56B37C4E"/>
    <w:rsid w:val="57B213B3"/>
    <w:rsid w:val="57BC3869"/>
    <w:rsid w:val="57D4431F"/>
    <w:rsid w:val="57EA769F"/>
    <w:rsid w:val="58BA3CEF"/>
    <w:rsid w:val="590479EE"/>
    <w:rsid w:val="59170968"/>
    <w:rsid w:val="595C281E"/>
    <w:rsid w:val="59B94D9F"/>
    <w:rsid w:val="5A737E20"/>
    <w:rsid w:val="5B2E4D4E"/>
    <w:rsid w:val="5C2A783E"/>
    <w:rsid w:val="5C3E5087"/>
    <w:rsid w:val="5CAC7619"/>
    <w:rsid w:val="5CFA4828"/>
    <w:rsid w:val="5D911DBC"/>
    <w:rsid w:val="5DC0337C"/>
    <w:rsid w:val="5ED521CC"/>
    <w:rsid w:val="5F41673E"/>
    <w:rsid w:val="5FA42829"/>
    <w:rsid w:val="6005151A"/>
    <w:rsid w:val="60667BB6"/>
    <w:rsid w:val="61293C2F"/>
    <w:rsid w:val="616A2C9E"/>
    <w:rsid w:val="618F72CF"/>
    <w:rsid w:val="61AC1296"/>
    <w:rsid w:val="644B7717"/>
    <w:rsid w:val="64A31301"/>
    <w:rsid w:val="65336B29"/>
    <w:rsid w:val="65A32E01"/>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9709A6"/>
    <w:rsid w:val="6DE969E3"/>
    <w:rsid w:val="6E1B45FE"/>
    <w:rsid w:val="700A66D9"/>
    <w:rsid w:val="70F84783"/>
    <w:rsid w:val="7206464C"/>
    <w:rsid w:val="72B6607D"/>
    <w:rsid w:val="72F26E07"/>
    <w:rsid w:val="74363F40"/>
    <w:rsid w:val="748C0004"/>
    <w:rsid w:val="756B7C19"/>
    <w:rsid w:val="780C2A3E"/>
    <w:rsid w:val="7860158C"/>
    <w:rsid w:val="791505C8"/>
    <w:rsid w:val="791800B8"/>
    <w:rsid w:val="79411632"/>
    <w:rsid w:val="79927E6B"/>
    <w:rsid w:val="7A512115"/>
    <w:rsid w:val="7AA53B8C"/>
    <w:rsid w:val="7B130B37"/>
    <w:rsid w:val="7B8F0A21"/>
    <w:rsid w:val="7BC462D5"/>
    <w:rsid w:val="7CFC454E"/>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1198</Words>
  <Characters>6763</Characters>
  <Lines>268</Lines>
  <Paragraphs>75</Paragraphs>
  <TotalTime>3</TotalTime>
  <ScaleCrop>false</ScaleCrop>
  <LinksUpToDate>false</LinksUpToDate>
  <CharactersWithSpaces>7926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2026-01-30T07:21:19Z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